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3D312" w14:textId="0FC57306" w:rsidR="00EB4CC3" w:rsidRPr="003729A0" w:rsidRDefault="00EB4CC3">
      <w:pPr>
        <w:rPr>
          <w:b/>
          <w:bCs/>
        </w:rPr>
      </w:pPr>
      <w:bookmarkStart w:id="0" w:name="_GoBack"/>
      <w:bookmarkEnd w:id="0"/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4C455D">
        <w:rPr>
          <w:b/>
          <w:bCs/>
        </w:rPr>
        <w:t>06</w:t>
      </w:r>
      <w:r w:rsidR="00FB7080" w:rsidRPr="003729A0">
        <w:rPr>
          <w:b/>
          <w:bCs/>
        </w:rPr>
        <w:t>.0</w:t>
      </w:r>
      <w:r w:rsidR="004C455D">
        <w:rPr>
          <w:b/>
          <w:bCs/>
        </w:rPr>
        <w:t>4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558744CE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r w:rsidR="004C455D">
        <w:t xml:space="preserve">677.8 მლნ </w:t>
      </w:r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4C455D">
        <w:t>, აქედან ერთი დოზით აცრილია მინიმუმ 315 მლნ ადამიანი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4C455D">
        <w:t>161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BE7658">
        <w:t>.</w:t>
      </w:r>
      <w:r w:rsidR="00012043">
        <w:t xml:space="preserve"> </w:t>
      </w:r>
    </w:p>
    <w:p w14:paraId="7B4725A1" w14:textId="38F2B2E1" w:rsidR="002E5F4D" w:rsidRDefault="002E5F4D" w:rsidP="00F45F99">
      <w:r>
        <w:t xml:space="preserve">წინა კვირასთან შედარებით, გლობალურად </w:t>
      </w:r>
      <w:r w:rsidR="00A37996">
        <w:t>2</w:t>
      </w:r>
      <w:r w:rsidR="004C455D">
        <w:t>0</w:t>
      </w:r>
      <w:r w:rsidR="00255BE9">
        <w:rPr>
          <w:lang w:val="en-US"/>
        </w:rPr>
        <w:t>%</w:t>
      </w:r>
      <w:r>
        <w:t>-ით გაზრდილია ვაქცინაცია.</w:t>
      </w:r>
      <w:r w:rsidR="00195837">
        <w:t xml:space="preserve"> დღეში კეთდება </w:t>
      </w:r>
      <w:r w:rsidR="004C455D">
        <w:t>16</w:t>
      </w:r>
      <w:r w:rsidR="0077589C">
        <w:t>.2</w:t>
      </w:r>
      <w:r w:rsidR="00195837">
        <w:t xml:space="preserve"> მლნ მეტი აცრა.</w:t>
      </w:r>
    </w:p>
    <w:p w14:paraId="6B7641EE" w14:textId="449F9FB1" w:rsidR="00411497" w:rsidRPr="00625780" w:rsidRDefault="00F45F99" w:rsidP="00F45F99">
      <w:r>
        <w:t xml:space="preserve">არსებული მონაცემებით, </w:t>
      </w:r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</w:t>
      </w:r>
      <w:r w:rsidR="0077589C">
        <w:t>67 187 795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77589C">
        <w:t>139 970 000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77589C">
        <w:t>80 261 503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77589C">
        <w:t>79 105 163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5C0C94">
        <w:t>3</w:t>
      </w:r>
      <w:r w:rsidR="0077589C">
        <w:t>7 013 740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77589C">
        <w:t>25 351 729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77589C">
        <w:t>7 204 549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</w:t>
      </w:r>
      <w:r w:rsidR="0077589C">
        <w:t>4 381 068</w:t>
      </w:r>
      <w:r w:rsidR="005A6429">
        <w:t>), მე</w:t>
      </w:r>
      <w:r w:rsidR="00810369">
        <w:t>ცხრე</w:t>
      </w:r>
      <w:r w:rsidR="005A6429">
        <w:t xml:space="preserve"> </w:t>
      </w:r>
      <w:r w:rsidR="0077589C">
        <w:t xml:space="preserve">ინდონეზია </w:t>
      </w:r>
      <w:r w:rsidR="005A6429">
        <w:t>(</w:t>
      </w:r>
      <w:r w:rsidR="005C0C94">
        <w:t>1</w:t>
      </w:r>
      <w:r w:rsidR="0077589C">
        <w:t>3 087 173</w:t>
      </w:r>
      <w:r w:rsidR="005A6429">
        <w:t>), მე</w:t>
      </w:r>
      <w:r w:rsidR="00810369">
        <w:t xml:space="preserve">ათე </w:t>
      </w:r>
      <w:r w:rsidR="0077589C">
        <w:t>საფრანგეთი</w:t>
      </w:r>
      <w:r w:rsidR="00810369">
        <w:t xml:space="preserve"> (</w:t>
      </w:r>
      <w:r w:rsidR="0077589C">
        <w:t>12 493 480</w:t>
      </w:r>
      <w:r w:rsidR="00810369">
        <w:t>)</w:t>
      </w:r>
      <w:r w:rsidR="005C0C94">
        <w:t>.</w:t>
      </w:r>
    </w:p>
    <w:bookmarkEnd w:id="1"/>
    <w:p w14:paraId="63D9A039" w14:textId="43474B7D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A6314F">
        <w:t>84.9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</w:t>
      </w:r>
      <w:r w:rsidR="00A6314F">
        <w:t>6.2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112261">
        <w:rPr>
          <w:lang w:val="en-US"/>
        </w:rPr>
        <w:t>3</w:t>
      </w:r>
      <w:r w:rsidR="00732F43">
        <w:t>9.5</w:t>
      </w:r>
      <w:r w:rsidR="00121646">
        <w:t>%), მე</w:t>
      </w:r>
      <w:r w:rsidR="003512F0">
        <w:t>ოთხე</w:t>
      </w:r>
      <w:r w:rsidR="00954F53">
        <w:t xml:space="preserve"> </w:t>
      </w:r>
      <w:r w:rsidR="00810369">
        <w:t>კაიმანის კუნძულები (</w:t>
      </w:r>
      <w:r w:rsidR="00A6314F">
        <w:t>30.7</w:t>
      </w:r>
      <w:r w:rsidR="00810369">
        <w:t xml:space="preserve">%), </w:t>
      </w:r>
      <w:r w:rsidR="00112261">
        <w:t xml:space="preserve">მეხუთე </w:t>
      </w:r>
      <w:r w:rsidR="00A6314F">
        <w:t>ბერმუდები</w:t>
      </w:r>
      <w:r w:rsidR="00112261">
        <w:t xml:space="preserve"> (2</w:t>
      </w:r>
      <w:r w:rsidR="00A6314F">
        <w:t>4.7</w:t>
      </w:r>
      <w:r w:rsidR="00112261">
        <w:t xml:space="preserve">%), </w:t>
      </w:r>
      <w:r w:rsidR="00810369">
        <w:t xml:space="preserve">მეექვსე </w:t>
      </w:r>
      <w:r w:rsidR="00A6314F">
        <w:t>მონაკო</w:t>
      </w:r>
      <w:r w:rsidR="009F1C01">
        <w:rPr>
          <w:lang w:val="en-US"/>
        </w:rPr>
        <w:t xml:space="preserve"> (</w:t>
      </w:r>
      <w:r w:rsidR="00112261">
        <w:t>2</w:t>
      </w:r>
      <w:r w:rsidR="00A6314F">
        <w:t>2.</w:t>
      </w:r>
      <w:r w:rsidR="00732F43">
        <w:t>6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ჩილე</w:t>
      </w:r>
      <w:r w:rsidR="00983101">
        <w:t xml:space="preserve"> (</w:t>
      </w:r>
      <w:r w:rsidR="00A6314F">
        <w:t>21.1</w:t>
      </w:r>
      <w:r w:rsidR="00983101">
        <w:t xml:space="preserve">%), </w:t>
      </w:r>
      <w:r w:rsidR="00112261">
        <w:t xml:space="preserve">მერვე </w:t>
      </w:r>
      <w:r w:rsidR="00732F43">
        <w:t>ბაჰრეინი</w:t>
      </w:r>
      <w:r w:rsidR="00112261">
        <w:t xml:space="preserve"> (1</w:t>
      </w:r>
      <w:r w:rsidR="00732F43">
        <w:t>9.3</w:t>
      </w:r>
      <w:r w:rsidR="00112261">
        <w:t xml:space="preserve">%), </w:t>
      </w:r>
      <w:r w:rsidR="00983101">
        <w:t>მე</w:t>
      </w:r>
      <w:r w:rsidR="00810369">
        <w:t>ცხრე</w:t>
      </w:r>
      <w:r w:rsidR="00983101">
        <w:t xml:space="preserve"> </w:t>
      </w:r>
      <w:r w:rsidR="00732F43">
        <w:t xml:space="preserve">აშშ (18.8%) და მეათე </w:t>
      </w:r>
      <w:r w:rsidR="00A6314F">
        <w:t>მენის კუნძული</w:t>
      </w:r>
      <w:r w:rsidR="00112261">
        <w:t xml:space="preserve"> </w:t>
      </w:r>
      <w:r w:rsidR="00983101">
        <w:t>(</w:t>
      </w:r>
      <w:r w:rsidR="001D5937">
        <w:t>1</w:t>
      </w:r>
      <w:r w:rsidR="00A6314F">
        <w:t>8.1</w:t>
      </w:r>
      <w:r w:rsidR="00983101">
        <w:t>%)</w:t>
      </w:r>
      <w:r w:rsidR="00121646">
        <w:t>.</w:t>
      </w:r>
      <w:bookmarkEnd w:id="2"/>
      <w:r w:rsidR="00112261">
        <w:t xml:space="preserve"> ევროკავშირის ქვეყნებიდან </w:t>
      </w:r>
      <w:r w:rsidR="00A6314F">
        <w:t>ასევე დაწინაურებულია სან მარინო (13.7%), მალტა (13.4%) და კიპროსი (11.5%)</w:t>
      </w:r>
      <w:r w:rsidR="00112261">
        <w:t>.</w:t>
      </w:r>
    </w:p>
    <w:p w14:paraId="3AF5502A" w14:textId="11EC4824" w:rsidR="00862E83" w:rsidRDefault="008C2F71" w:rsidP="00F45F99">
      <w:r>
        <w:t xml:space="preserve">გიპრალტარი </w:t>
      </w:r>
      <w:r w:rsidR="00862E83">
        <w:t>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 w:rsidR="00862E83">
        <w:t xml:space="preserve"> მოსახლე</w:t>
      </w:r>
      <w:r w:rsidR="00FD6A5D">
        <w:t>ო</w:t>
      </w:r>
      <w:r w:rsidR="00862E83"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>
        <w:t>89.6%</w:t>
      </w:r>
      <w:r w:rsidR="00FF4ECF">
        <w:t>%</w:t>
      </w:r>
      <w:r w:rsidR="00117E45">
        <w:t xml:space="preserve">, </w:t>
      </w:r>
      <w:r>
        <w:t xml:space="preserve">შემდეგი ისრაელი - 57%, </w:t>
      </w:r>
      <w:r w:rsidR="004D6FB9">
        <w:t>სეიშელ</w:t>
      </w:r>
      <w:r w:rsidR="004D5C83">
        <w:t>ი</w:t>
      </w:r>
      <w:r w:rsidR="004D6FB9">
        <w:t xml:space="preserve"> </w:t>
      </w:r>
      <w:r>
        <w:t>53.2</w:t>
      </w:r>
      <w:r w:rsidR="00FF4ECF">
        <w:t>%</w:t>
      </w:r>
      <w:r>
        <w:t>,</w:t>
      </w:r>
      <w:r w:rsidR="00FD6A5D">
        <w:t xml:space="preserve"> გაერთიანებულ არაბთა ემირატებ</w:t>
      </w:r>
      <w:r w:rsidR="004D5C83">
        <w:t>ი</w:t>
      </w:r>
      <w:r w:rsidR="005C0C94">
        <w:t xml:space="preserve"> </w:t>
      </w:r>
      <w:r>
        <w:t>40</w:t>
      </w:r>
      <w:r w:rsidR="00FF4ECF">
        <w:t>%</w:t>
      </w:r>
      <w:r w:rsidR="00312CB5">
        <w:t>,</w:t>
      </w:r>
      <w:r w:rsidR="004D6FB9">
        <w:t xml:space="preserve"> </w:t>
      </w:r>
      <w:r>
        <w:t xml:space="preserve">კაიმენის კუნძლები - 39%, ფოლკლენდის კუნძულები 36.5%, </w:t>
      </w:r>
      <w:r w:rsidR="00983101">
        <w:t xml:space="preserve">მალდივები </w:t>
      </w:r>
      <w:r w:rsidR="005C0C94">
        <w:t>3</w:t>
      </w:r>
      <w:r>
        <w:t>4.5</w:t>
      </w:r>
      <w:r w:rsidR="00FF4ECF">
        <w:t>%</w:t>
      </w:r>
      <w:r w:rsidR="00312CB5">
        <w:t>,</w:t>
      </w:r>
      <w:r w:rsidR="00983101">
        <w:t xml:space="preserve"> </w:t>
      </w:r>
      <w:r>
        <w:t xml:space="preserve">მენის კუნძლი - 33%, ბუთანი 31.4%, ბერმუდები - 306%, </w:t>
      </w:r>
      <w:r w:rsidR="005C0C94">
        <w:t>ჩილე 2</w:t>
      </w:r>
      <w:r>
        <w:t>8</w:t>
      </w:r>
      <w:r w:rsidR="005C0C94">
        <w:t xml:space="preserve">.2%, </w:t>
      </w:r>
      <w:r w:rsidR="00F45F99">
        <w:t>გაერთიანებულ სამეფო</w:t>
      </w:r>
      <w:r w:rsidR="00312CB5">
        <w:t xml:space="preserve"> </w:t>
      </w:r>
      <w:r w:rsidR="00FF4ECF">
        <w:t>2</w:t>
      </w:r>
      <w:r>
        <w:t>7.7</w:t>
      </w:r>
      <w:r w:rsidR="00FF4ECF">
        <w:t>%</w:t>
      </w:r>
      <w:r w:rsidR="005C0C94">
        <w:t>, ბაჰრეინი 2</w:t>
      </w:r>
      <w:r>
        <w:t>7</w:t>
      </w:r>
      <w:r w:rsidR="005C0C94">
        <w:t>.</w:t>
      </w:r>
      <w:r>
        <w:t>5</w:t>
      </w:r>
      <w:r w:rsidR="005C0C94">
        <w:t>%</w:t>
      </w:r>
      <w:r>
        <w:t>,</w:t>
      </w:r>
      <w:r w:rsidR="005C0C94">
        <w:t xml:space="preserve"> მონაკო</w:t>
      </w:r>
      <w:r w:rsidR="00FF4ECF">
        <w:t xml:space="preserve"> - 2</w:t>
      </w:r>
      <w:r>
        <w:t>6.3</w:t>
      </w:r>
      <w:r w:rsidR="00FF4ECF">
        <w:t xml:space="preserve">% და </w:t>
      </w:r>
      <w:r w:rsidR="00726277">
        <w:t>აშშ</w:t>
      </w:r>
      <w:r w:rsidR="009F1C01">
        <w:t> </w:t>
      </w:r>
      <w:r w:rsidR="005C0C94">
        <w:t>2</w:t>
      </w:r>
      <w:r>
        <w:t>5.8</w:t>
      </w:r>
      <w:r w:rsidR="00FF4ECF">
        <w:t>%</w:t>
      </w:r>
      <w:r w:rsidR="00312CB5">
        <w:t>.</w:t>
      </w:r>
      <w:r w:rsidR="004C34CD">
        <w:t xml:space="preserve"> </w:t>
      </w:r>
    </w:p>
    <w:p w14:paraId="5AA3A5BD" w14:textId="718E3667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47526F">
        <w:t xml:space="preserve">94 114 886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</w:t>
      </w:r>
      <w:r w:rsidR="0047526F">
        <w:t>4.2</w:t>
      </w:r>
      <w:r w:rsidR="00FF4ECF">
        <w:t>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47526F">
        <w:t>6</w:t>
      </w:r>
      <w:r w:rsidR="004F610C">
        <w:t>%</w:t>
      </w:r>
      <w:bookmarkEnd w:id="3"/>
      <w:r w:rsidR="004F610C">
        <w:t>.</w:t>
      </w:r>
      <w:r w:rsidR="00FF4ECF">
        <w:t xml:space="preserve"> </w:t>
      </w:r>
    </w:p>
    <w:p w14:paraId="1D9D9E19" w14:textId="77777777" w:rsidR="0077589C" w:rsidRDefault="0077589C" w:rsidP="0077589C">
      <w:r>
        <w:t>აღნიშნულ ქვეყნებში (29 ქვეყანა) ვაქცინების მწარმოებლის მიხედვით მოხმარება</w:t>
      </w:r>
      <w:r w:rsidRPr="00654921">
        <w:t xml:space="preserve"> </w:t>
      </w:r>
      <w:r>
        <w:t>მერყეობს:</w:t>
      </w:r>
    </w:p>
    <w:p w14:paraId="42C6DF3A" w14:textId="77777777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–12.8%-იდან (ჩეხეთი) 50.5%-მდე (ბულგარეთი), ხოლო 0% - ლიხტენშტეინი, სადაც ეს ვაქცინა არ არის შეტანილი  </w:t>
      </w:r>
    </w:p>
    <w:p w14:paraId="626E8C1C" w14:textId="77777777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23.7%-იდან (ლატვია) 75.7%-მდე (დანია)</w:t>
      </w:r>
    </w:p>
    <w:p w14:paraId="4601F86C" w14:textId="77777777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2.7%-დან (უნგრეთი) 51.9%-მდე (ლიხტენშტეინი)</w:t>
      </w:r>
    </w:p>
    <w:p w14:paraId="54A41070" w14:textId="77777777" w:rsidR="0077589C" w:rsidRPr="00654921" w:rsidRDefault="0077589C" w:rsidP="0077589C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1</w:t>
      </w:r>
      <w:r>
        <w:rPr>
          <w:lang w:val="en-US"/>
        </w:rPr>
        <w:t>8.3</w:t>
      </w:r>
      <w:r>
        <w:t>% (უნგრეთი)</w:t>
      </w:r>
    </w:p>
    <w:p w14:paraId="35178449" w14:textId="349CF20B" w:rsidR="0077589C" w:rsidRDefault="0077589C" w:rsidP="0077589C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21.</w:t>
      </w:r>
      <w:r>
        <w:rPr>
          <w:lang w:val="en-US"/>
        </w:rPr>
        <w:t>8</w:t>
      </w:r>
      <w:r>
        <w:t>% (უნგრეთი)</w:t>
      </w:r>
    </w:p>
    <w:p w14:paraId="4F212B97" w14:textId="77777777" w:rsidR="0047526F" w:rsidRPr="0047526F" w:rsidRDefault="0047526F" w:rsidP="0047526F">
      <w:pPr>
        <w:rPr>
          <w:rFonts w:eastAsia="Times New Roman" w:cs="Arial"/>
          <w:color w:val="000000"/>
          <w:sz w:val="23"/>
          <w:szCs w:val="23"/>
        </w:rPr>
      </w:pPr>
      <w:r w:rsidRPr="0047526F">
        <w:rPr>
          <w:rFonts w:eastAsia="Times New Roman" w:cs="Arial"/>
          <w:color w:val="000000"/>
          <w:sz w:val="23"/>
          <w:szCs w:val="23"/>
        </w:rPr>
        <w:t>აშშ-ს სრულად აცრილებიდან 31.1 მლნ ფაიზერითაა აცრილი, 27.1 მლნ მოდერნათი და 4.2 მლნ ჯ&amp;ჯ.</w:t>
      </w:r>
    </w:p>
    <w:p w14:paraId="623AB810" w14:textId="77777777" w:rsidR="0077589C" w:rsidRDefault="0077589C" w:rsidP="0077589C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დროისათვის:</w:t>
      </w:r>
    </w:p>
    <w:p w14:paraId="01B42BF6" w14:textId="77777777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7807304A" w14:textId="53EA3A64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</w:t>
      </w:r>
      <w:r w:rsidR="0047526F">
        <w:rPr>
          <w:rFonts w:eastAsia="Times New Roman" w:cs="Arial"/>
          <w:color w:val="000000"/>
          <w:sz w:val="23"/>
          <w:szCs w:val="23"/>
        </w:rPr>
        <w:t>5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46D4825E" w14:textId="4C689FE7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ფაზა - </w:t>
      </w:r>
      <w:r w:rsidR="0047526F">
        <w:rPr>
          <w:rFonts w:eastAsia="Times New Roman" w:cs="Arial"/>
          <w:color w:val="000000"/>
          <w:sz w:val="23"/>
          <w:szCs w:val="23"/>
        </w:rPr>
        <w:t>50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619A27E3" w14:textId="6763F584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ავტორიზება - </w:t>
      </w:r>
      <w:r w:rsidR="0047526F">
        <w:rPr>
          <w:rFonts w:eastAsia="Times New Roman" w:cs="Arial"/>
          <w:color w:val="000000"/>
          <w:sz w:val="23"/>
          <w:szCs w:val="23"/>
        </w:rPr>
        <w:t>5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71F92433" w14:textId="41F63E4C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lastRenderedPageBreak/>
        <w:t xml:space="preserve">ნებადართული - </w:t>
      </w:r>
      <w:r w:rsidR="0047526F">
        <w:rPr>
          <w:rFonts w:eastAsia="Times New Roman" w:cs="Arial"/>
          <w:color w:val="000000"/>
          <w:sz w:val="23"/>
          <w:szCs w:val="23"/>
        </w:rPr>
        <w:t>8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7DEEB894" w14:textId="77777777" w:rsidR="0077589C" w:rsidRPr="00B57558" w:rsidRDefault="0077589C" w:rsidP="0077589C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p w14:paraId="4A2BEFF0" w14:textId="232A7576" w:rsidR="0077589C" w:rsidRDefault="0077589C" w:rsidP="0077589C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 xml:space="preserve">ქვეყნებიდან, რომელსაც </w:t>
      </w:r>
      <w:r w:rsidR="0047526F">
        <w:rPr>
          <w:rFonts w:eastAsia="Times New Roman" w:cs="Arial"/>
          <w:color w:val="000000"/>
          <w:sz w:val="23"/>
          <w:szCs w:val="23"/>
        </w:rPr>
        <w:t>6 აპრილის</w:t>
      </w:r>
      <w:r>
        <w:rPr>
          <w:rFonts w:eastAsia="Times New Roman" w:cs="Arial"/>
          <w:color w:val="000000"/>
          <w:sz w:val="23"/>
          <w:szCs w:val="23"/>
        </w:rPr>
        <w:t xml:space="preserve"> მდგომარეობით, აქვს მოსახლეობის უნივერსალური მოცვა (პრიორიტეტული ჯგუფებისგან განურჩევლად ცრის მოსახლეობას):</w:t>
      </w:r>
    </w:p>
    <w:p w14:paraId="12A0B2DE" w14:textId="77777777" w:rsidR="0077589C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ბულგარეთი </w:t>
      </w:r>
    </w:p>
    <w:p w14:paraId="39FA989C" w14:textId="77777777" w:rsidR="0077589C" w:rsidRPr="00B832AB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დომინიკა</w:t>
      </w:r>
    </w:p>
    <w:p w14:paraId="5DBD67B8" w14:textId="77777777" w:rsidR="0077589C" w:rsidRPr="00B832AB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ისრაელი </w:t>
      </w:r>
    </w:p>
    <w:p w14:paraId="4640EFE2" w14:textId="77777777" w:rsidR="0077589C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>რუმინეთი</w:t>
      </w:r>
    </w:p>
    <w:p w14:paraId="443F9C79" w14:textId="77777777" w:rsidR="0077589C" w:rsidRPr="00B73232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რუსეთი</w:t>
      </w:r>
      <w:r w:rsidRPr="00B832AB">
        <w:rPr>
          <w:rFonts w:eastAsia="Times New Roman" w:cs="Arial"/>
          <w:color w:val="000000"/>
          <w:sz w:val="23"/>
          <w:szCs w:val="23"/>
        </w:rPr>
        <w:t xml:space="preserve"> 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(ამ კვირაში დაემატა)</w:t>
      </w:r>
    </w:p>
    <w:p w14:paraId="5762B2F6" w14:textId="77777777" w:rsidR="0077589C" w:rsidRPr="00B73232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73232">
        <w:rPr>
          <w:rFonts w:eastAsia="Times New Roman" w:cs="Arial"/>
          <w:color w:val="000000"/>
          <w:sz w:val="23"/>
          <w:szCs w:val="23"/>
        </w:rPr>
        <w:t xml:space="preserve">სამხრეთ კორეა </w:t>
      </w:r>
      <w:r w:rsidRPr="00B832AB">
        <w:rPr>
          <w:rFonts w:eastAsia="Times New Roman" w:cs="Arial"/>
          <w:i/>
          <w:iCs/>
          <w:color w:val="000000"/>
          <w:sz w:val="23"/>
          <w:szCs w:val="23"/>
        </w:rPr>
        <w:t>(ამ კვირაში დაემატა)</w:t>
      </w:r>
    </w:p>
    <w:p w14:paraId="00785B84" w14:textId="77777777" w:rsidR="0077589C" w:rsidRPr="00B73232" w:rsidRDefault="0077589C" w:rsidP="0077589C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73232">
        <w:rPr>
          <w:rFonts w:eastAsia="Times New Roman" w:cs="Arial"/>
          <w:color w:val="000000"/>
          <w:sz w:val="23"/>
          <w:szCs w:val="23"/>
        </w:rPr>
        <w:t>სეიშელი</w:t>
      </w:r>
    </w:p>
    <w:p w14:paraId="58C5A31C" w14:textId="77777777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  <w:lang w:val="en-US"/>
        </w:rPr>
      </w:pPr>
    </w:p>
    <w:p w14:paraId="304CE421" w14:textId="00F320C5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</w:rPr>
      </w:pPr>
    </w:p>
    <w:p w14:paraId="064C62C7" w14:textId="77777777" w:rsidR="00B57558" w:rsidRPr="00B57558" w:rsidRDefault="00B57558" w:rsidP="002777D3">
      <w:pPr>
        <w:rPr>
          <w:rFonts w:eastAsia="Times New Roman" w:cs="Arial"/>
          <w:color w:val="000000"/>
          <w:sz w:val="23"/>
          <w:szCs w:val="23"/>
        </w:rPr>
      </w:pPr>
    </w:p>
    <w:p w14:paraId="2A44EF46" w14:textId="04EEFA37" w:rsidR="00B91ED0" w:rsidRPr="00B91ED0" w:rsidRDefault="00B91ED0" w:rsidP="002777D3"/>
    <w:sectPr w:rsidR="00B91ED0" w:rsidRPr="00B91ED0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E61E5" w14:textId="77777777" w:rsidR="00647D1E" w:rsidRDefault="00647D1E" w:rsidP="00EB4CC3">
      <w:pPr>
        <w:spacing w:after="0" w:line="240" w:lineRule="auto"/>
      </w:pPr>
      <w:r>
        <w:separator/>
      </w:r>
    </w:p>
  </w:endnote>
  <w:endnote w:type="continuationSeparator" w:id="0">
    <w:p w14:paraId="2FF1822A" w14:textId="77777777" w:rsidR="00647D1E" w:rsidRDefault="00647D1E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ECBF" w14:textId="77777777" w:rsidR="00647D1E" w:rsidRDefault="00647D1E" w:rsidP="00EB4CC3">
      <w:pPr>
        <w:spacing w:after="0" w:line="240" w:lineRule="auto"/>
      </w:pPr>
      <w:r>
        <w:separator/>
      </w:r>
    </w:p>
  </w:footnote>
  <w:footnote w:type="continuationSeparator" w:id="0">
    <w:p w14:paraId="357D3BFC" w14:textId="77777777" w:rsidR="00647D1E" w:rsidRDefault="00647D1E" w:rsidP="00EB4CC3">
      <w:pPr>
        <w:spacing w:after="0" w:line="240" w:lineRule="auto"/>
      </w:pPr>
      <w:r>
        <w:continuationSeparator/>
      </w:r>
    </w:p>
  </w:footnote>
  <w:footnote w:id="1">
    <w:p w14:paraId="3F0AE3EA" w14:textId="06094C79" w:rsidR="00803D84" w:rsidRDefault="00803D84" w:rsidP="0011226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112261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 w:rsidRPr="00112261">
        <w:rPr>
          <w:sz w:val="18"/>
          <w:szCs w:val="18"/>
        </w:rPr>
        <w:t xml:space="preserve"> </w:t>
      </w:r>
    </w:p>
    <w:p w14:paraId="2A772F03" w14:textId="52B6DBFB" w:rsidR="0077589C" w:rsidRPr="00112261" w:rsidRDefault="00647D1E" w:rsidP="0077589C">
      <w:pPr>
        <w:pStyle w:val="FootnoteText"/>
        <w:rPr>
          <w:sz w:val="18"/>
          <w:szCs w:val="18"/>
        </w:rPr>
      </w:pPr>
      <w:hyperlink r:id="rId2" w:history="1">
        <w:r w:rsidR="0077589C" w:rsidRPr="000269F0">
          <w:rPr>
            <w:rStyle w:val="Hyperlink"/>
            <w:sz w:val="18"/>
            <w:szCs w:val="18"/>
          </w:rPr>
          <w:t>https://edition.cnn.com/interactive/2021/health/global-covid-vaccinations/</w:t>
        </w:r>
      </w:hyperlink>
      <w:r w:rsidR="0077589C" w:rsidRPr="00112261">
        <w:rPr>
          <w:sz w:val="18"/>
          <w:szCs w:val="18"/>
        </w:rPr>
        <w:t xml:space="preserve"> </w:t>
      </w:r>
    </w:p>
    <w:p w14:paraId="3953487A" w14:textId="61691F0E" w:rsidR="0077589C" w:rsidRPr="00112261" w:rsidRDefault="00647D1E" w:rsidP="0077589C">
      <w:pPr>
        <w:pStyle w:val="FootnoteText"/>
        <w:rPr>
          <w:sz w:val="18"/>
          <w:szCs w:val="18"/>
        </w:rPr>
      </w:pPr>
      <w:hyperlink r:id="rId3" w:anchor="uptake-tab" w:history="1">
        <w:r w:rsidR="0077589C" w:rsidRPr="000269F0">
          <w:rPr>
            <w:rStyle w:val="Hyperlink"/>
            <w:sz w:val="18"/>
            <w:szCs w:val="18"/>
          </w:rPr>
          <w:t>https://qap.ecdc.europa.eu/public/extensions/COVID-19/vaccine-tracker.html#uptake-tab</w:t>
        </w:r>
      </w:hyperlink>
      <w:r w:rsidR="0077589C" w:rsidRPr="00112261">
        <w:rPr>
          <w:sz w:val="18"/>
          <w:szCs w:val="18"/>
        </w:rPr>
        <w:t xml:space="preserve"> </w:t>
      </w:r>
    </w:p>
    <w:p w14:paraId="4B10479D" w14:textId="545D2D1E" w:rsidR="0077589C" w:rsidRPr="00112261" w:rsidRDefault="00647D1E" w:rsidP="0077589C">
      <w:pPr>
        <w:spacing w:after="0"/>
        <w:rPr>
          <w:sz w:val="18"/>
          <w:szCs w:val="18"/>
        </w:rPr>
      </w:pPr>
      <w:hyperlink r:id="rId4" w:history="1">
        <w:r w:rsidR="0077589C" w:rsidRPr="000269F0">
          <w:rPr>
            <w:rStyle w:val="Hyperlink"/>
            <w:sz w:val="18"/>
            <w:szCs w:val="18"/>
          </w:rPr>
          <w:t>https://covid19-vaccine-report.ecdc.europa.eu/</w:t>
        </w:r>
      </w:hyperlink>
      <w:r w:rsidR="0077589C" w:rsidRPr="00112261">
        <w:rPr>
          <w:sz w:val="18"/>
          <w:szCs w:val="18"/>
        </w:rPr>
        <w:t xml:space="preserve"> </w:t>
      </w:r>
    </w:p>
    <w:p w14:paraId="2DC77D6C" w14:textId="16DC10C9" w:rsidR="0077589C" w:rsidRDefault="00647D1E" w:rsidP="0077589C">
      <w:pPr>
        <w:pStyle w:val="FootnoteText"/>
        <w:rPr>
          <w:rStyle w:val="Hyperlink"/>
          <w:sz w:val="18"/>
          <w:szCs w:val="18"/>
        </w:rPr>
      </w:pPr>
      <w:hyperlink r:id="rId5" w:history="1">
        <w:r w:rsidR="0077589C" w:rsidRPr="000269F0">
          <w:rPr>
            <w:rStyle w:val="Hyperlink"/>
            <w:sz w:val="18"/>
            <w:szCs w:val="18"/>
          </w:rPr>
          <w:t>https://www.nytimes.com/interactive/2020/science/coronavirus-vaccine-tracker.html</w:t>
        </w:r>
      </w:hyperlink>
    </w:p>
    <w:p w14:paraId="12BC003E" w14:textId="64EAE00A" w:rsidR="0077589C" w:rsidRPr="00112261" w:rsidRDefault="00647D1E" w:rsidP="0077589C">
      <w:pPr>
        <w:pStyle w:val="FootnoteText"/>
        <w:rPr>
          <w:sz w:val="18"/>
          <w:szCs w:val="18"/>
        </w:rPr>
      </w:pPr>
      <w:hyperlink r:id="rId6" w:history="1">
        <w:r w:rsidR="0077589C" w:rsidRPr="000269F0">
          <w:rPr>
            <w:rStyle w:val="Hyperlink"/>
            <w:sz w:val="18"/>
            <w:szCs w:val="18"/>
          </w:rPr>
          <w:t>https://ourworldindata.org/covid-vaccinations</w:t>
        </w:r>
      </w:hyperlink>
      <w:r w:rsidR="0077589C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9F171C"/>
    <w:multiLevelType w:val="hybridMultilevel"/>
    <w:tmpl w:val="8A267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0999"/>
    <w:rsid w:val="00112261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30D9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05D3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2554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526F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C455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0C94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1E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2F43"/>
    <w:rsid w:val="00735E16"/>
    <w:rsid w:val="00736CC9"/>
    <w:rsid w:val="00742154"/>
    <w:rsid w:val="0074349D"/>
    <w:rsid w:val="00745157"/>
    <w:rsid w:val="0074596F"/>
    <w:rsid w:val="0075203C"/>
    <w:rsid w:val="00753D73"/>
    <w:rsid w:val="0077589C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C2F71"/>
    <w:rsid w:val="008D19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996"/>
    <w:rsid w:val="00A37E18"/>
    <w:rsid w:val="00A4760E"/>
    <w:rsid w:val="00A509F6"/>
    <w:rsid w:val="00A514CF"/>
    <w:rsid w:val="00A51501"/>
    <w:rsid w:val="00A527F1"/>
    <w:rsid w:val="00A562FD"/>
    <w:rsid w:val="00A613A3"/>
    <w:rsid w:val="00A6314F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2AB"/>
    <w:rsid w:val="00B836EB"/>
    <w:rsid w:val="00B91ED0"/>
    <w:rsid w:val="00B9418E"/>
    <w:rsid w:val="00BA1470"/>
    <w:rsid w:val="00BB2E7E"/>
    <w:rsid w:val="00BC1CFF"/>
    <w:rsid w:val="00BD3C07"/>
    <w:rsid w:val="00BD3F58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0505"/>
    <w:rsid w:val="00CE2636"/>
    <w:rsid w:val="00CE48E2"/>
    <w:rsid w:val="00CF12BD"/>
    <w:rsid w:val="00CF2B5B"/>
    <w:rsid w:val="00CF6466"/>
    <w:rsid w:val="00D01145"/>
    <w:rsid w:val="00D02F06"/>
    <w:rsid w:val="00D059FC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ourworldindata.org/covid-vaccinations" TargetMode="External"/><Relationship Id="rId5" Type="http://schemas.openxmlformats.org/officeDocument/2006/relationships/hyperlink" Target="https://www.nytimes.com/interactive/2020/science/coronavirus-vaccine-tracker.html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548F-7904-4493-9919-238363B8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2</cp:revision>
  <dcterms:created xsi:type="dcterms:W3CDTF">2021-04-06T20:17:00Z</dcterms:created>
  <dcterms:modified xsi:type="dcterms:W3CDTF">2021-04-06T20:17:00Z</dcterms:modified>
</cp:coreProperties>
</file>